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0307" w14:textId="68CB2F25" w:rsidR="008D5830" w:rsidRPr="00810E9E" w:rsidRDefault="008A364E" w:rsidP="003D245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0E9E">
        <w:rPr>
          <w:rFonts w:asciiTheme="minorHAnsi" w:hAnsiTheme="minorHAnsi" w:cstheme="minorHAnsi"/>
          <w:b/>
          <w:sz w:val="26"/>
          <w:szCs w:val="26"/>
        </w:rPr>
        <w:t xml:space="preserve">Newbury </w:t>
      </w:r>
      <w:r w:rsidR="008D5830" w:rsidRPr="00810E9E">
        <w:rPr>
          <w:rFonts w:asciiTheme="minorHAnsi" w:hAnsiTheme="minorHAnsi" w:cstheme="minorHAnsi"/>
          <w:b/>
          <w:sz w:val="26"/>
          <w:szCs w:val="26"/>
        </w:rPr>
        <w:t>Town Council</w:t>
      </w:r>
    </w:p>
    <w:p w14:paraId="6AA40308" w14:textId="77777777" w:rsidR="003D245B" w:rsidRPr="00810E9E" w:rsidRDefault="005D6A88" w:rsidP="003D245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0E9E">
        <w:rPr>
          <w:rFonts w:asciiTheme="minorHAnsi" w:hAnsiTheme="minorHAnsi" w:cstheme="minorHAnsi"/>
          <w:b/>
          <w:sz w:val="26"/>
          <w:szCs w:val="26"/>
        </w:rPr>
        <w:t>Job</w:t>
      </w:r>
      <w:r w:rsidR="008D5830" w:rsidRPr="00810E9E">
        <w:rPr>
          <w:rFonts w:asciiTheme="minorHAnsi" w:hAnsiTheme="minorHAnsi" w:cstheme="minorHAnsi"/>
          <w:b/>
          <w:sz w:val="26"/>
          <w:szCs w:val="26"/>
        </w:rPr>
        <w:t xml:space="preserve"> Description</w:t>
      </w:r>
    </w:p>
    <w:p w14:paraId="6AA4030A" w14:textId="77777777" w:rsidR="003D245B" w:rsidRPr="00CA2161" w:rsidRDefault="003D245B" w:rsidP="003D245B">
      <w:pPr>
        <w:rPr>
          <w:rFonts w:asciiTheme="minorHAnsi" w:hAnsiTheme="minorHAnsi" w:cstheme="minorHAnsi"/>
          <w:b/>
        </w:rPr>
      </w:pPr>
    </w:p>
    <w:p w14:paraId="6AA4030B" w14:textId="3A4EFBD8" w:rsidR="00C90D77" w:rsidRDefault="008D5830" w:rsidP="0026156E">
      <w:pPr>
        <w:ind w:left="2410" w:hanging="2410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sz w:val="26"/>
          <w:szCs w:val="26"/>
        </w:rPr>
        <w:t>JOB TITLE</w:t>
      </w:r>
      <w:r w:rsidR="00C444FA" w:rsidRPr="00810E9E">
        <w:rPr>
          <w:rFonts w:asciiTheme="minorHAnsi" w:hAnsiTheme="minorHAnsi" w:cstheme="minorHAnsi"/>
          <w:sz w:val="26"/>
          <w:szCs w:val="26"/>
        </w:rPr>
        <w:tab/>
      </w:r>
      <w:r w:rsidR="00C94F22" w:rsidRPr="00810E9E">
        <w:rPr>
          <w:rFonts w:asciiTheme="minorHAnsi" w:hAnsiTheme="minorHAnsi" w:cstheme="minorHAnsi"/>
          <w:sz w:val="26"/>
          <w:szCs w:val="26"/>
        </w:rPr>
        <w:t>Democratic</w:t>
      </w:r>
      <w:r w:rsidR="008A364E" w:rsidRPr="00810E9E">
        <w:rPr>
          <w:rFonts w:asciiTheme="minorHAnsi" w:hAnsiTheme="minorHAnsi" w:cstheme="minorHAnsi"/>
          <w:sz w:val="26"/>
          <w:szCs w:val="26"/>
        </w:rPr>
        <w:t xml:space="preserve"> Services </w:t>
      </w:r>
      <w:r w:rsidR="008E1E1C" w:rsidRPr="00810E9E">
        <w:rPr>
          <w:rFonts w:asciiTheme="minorHAnsi" w:hAnsiTheme="minorHAnsi" w:cstheme="minorHAnsi"/>
          <w:sz w:val="26"/>
          <w:szCs w:val="26"/>
        </w:rPr>
        <w:t>Officer</w:t>
      </w:r>
      <w:r w:rsidR="0017338B">
        <w:rPr>
          <w:rFonts w:asciiTheme="minorHAnsi" w:hAnsiTheme="minorHAnsi" w:cstheme="minorHAnsi"/>
          <w:sz w:val="26"/>
          <w:szCs w:val="26"/>
        </w:rPr>
        <w:t xml:space="preserve"> (and Lead Officer </w:t>
      </w:r>
      <w:r w:rsidR="0071771B">
        <w:rPr>
          <w:rFonts w:asciiTheme="minorHAnsi" w:hAnsiTheme="minorHAnsi" w:cstheme="minorHAnsi"/>
          <w:sz w:val="26"/>
          <w:szCs w:val="26"/>
        </w:rPr>
        <w:t xml:space="preserve">for the Council’s Planning and </w:t>
      </w:r>
      <w:r w:rsidR="00F7002D">
        <w:rPr>
          <w:rFonts w:asciiTheme="minorHAnsi" w:hAnsiTheme="minorHAnsi" w:cstheme="minorHAnsi"/>
          <w:sz w:val="26"/>
          <w:szCs w:val="26"/>
        </w:rPr>
        <w:t>H</w:t>
      </w:r>
      <w:r w:rsidR="0071771B">
        <w:rPr>
          <w:rFonts w:asciiTheme="minorHAnsi" w:hAnsiTheme="minorHAnsi" w:cstheme="minorHAnsi"/>
          <w:sz w:val="26"/>
          <w:szCs w:val="26"/>
        </w:rPr>
        <w:t>ighways Committee)</w:t>
      </w:r>
    </w:p>
    <w:p w14:paraId="2CD50ADF" w14:textId="77777777" w:rsidR="0071771B" w:rsidRPr="00CA2161" w:rsidRDefault="0071771B" w:rsidP="0071771B">
      <w:pPr>
        <w:rPr>
          <w:rFonts w:asciiTheme="minorHAnsi" w:hAnsiTheme="minorHAnsi" w:cstheme="minorHAnsi"/>
          <w:b/>
        </w:rPr>
      </w:pPr>
    </w:p>
    <w:p w14:paraId="6AA4030D" w14:textId="44051BBB" w:rsidR="00C444FA" w:rsidRPr="003D3B49" w:rsidRDefault="00DD0774" w:rsidP="003D3B49">
      <w:pPr>
        <w:autoSpaceDE w:val="0"/>
        <w:autoSpaceDN w:val="0"/>
        <w:adjustRightInd w:val="0"/>
        <w:rPr>
          <w:rFonts w:ascii="Gotham-Book" w:hAnsi="Gotham-Book" w:cs="Gotham-Book"/>
          <w:sz w:val="22"/>
        </w:rPr>
      </w:pPr>
      <w:r w:rsidRPr="0071771B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307303">
        <w:rPr>
          <w:rFonts w:asciiTheme="minorHAnsi" w:hAnsiTheme="minorHAnsi" w:cstheme="minorHAnsi"/>
          <w:b/>
          <w:bCs/>
          <w:sz w:val="26"/>
          <w:szCs w:val="26"/>
        </w:rPr>
        <w:t>ALARY SCALE</w:t>
      </w:r>
      <w:r w:rsidR="00FC1D3E">
        <w:rPr>
          <w:rFonts w:asciiTheme="minorHAnsi" w:hAnsiTheme="minorHAnsi" w:cstheme="minorHAnsi"/>
          <w:sz w:val="26"/>
          <w:szCs w:val="26"/>
        </w:rPr>
        <w:tab/>
        <w:t xml:space="preserve">    Starting </w:t>
      </w:r>
      <w:r w:rsidR="00FC1D3E" w:rsidRPr="007C6A36">
        <w:rPr>
          <w:rFonts w:asciiTheme="minorHAnsi" w:hAnsiTheme="minorHAnsi" w:cstheme="minorHAnsi"/>
          <w:sz w:val="26"/>
          <w:szCs w:val="26"/>
        </w:rPr>
        <w:t xml:space="preserve">at </w:t>
      </w:r>
      <w:r w:rsidR="00FC1D3E" w:rsidRPr="007C6A36">
        <w:rPr>
          <w:rFonts w:ascii="Gotham-Book" w:hAnsi="Gotham-Book" w:cs="Gotham-Book"/>
          <w:sz w:val="26"/>
          <w:szCs w:val="26"/>
        </w:rPr>
        <w:t>SCP 21</w:t>
      </w:r>
      <w:r w:rsidR="003D3B49" w:rsidRPr="007C6A36">
        <w:rPr>
          <w:rFonts w:ascii="Gotham-Book" w:hAnsi="Gotham-Book" w:cs="Gotham-Book"/>
          <w:sz w:val="26"/>
          <w:szCs w:val="26"/>
        </w:rPr>
        <w:t xml:space="preserve">: </w:t>
      </w:r>
      <w:r w:rsidR="00FC1D3E" w:rsidRPr="007C6A36">
        <w:rPr>
          <w:rFonts w:ascii="Gotham-Book" w:hAnsi="Gotham-Book" w:cs="Gotham-Book"/>
          <w:sz w:val="26"/>
          <w:szCs w:val="26"/>
        </w:rPr>
        <w:t>£26,</w:t>
      </w:r>
      <w:r w:rsidR="00230BC3" w:rsidRPr="007C6A36">
        <w:rPr>
          <w:rFonts w:ascii="Gotham-Book" w:hAnsi="Gotham-Book" w:cs="Gotham-Book"/>
          <w:sz w:val="26"/>
          <w:szCs w:val="26"/>
        </w:rPr>
        <w:t>975</w:t>
      </w:r>
      <w:r w:rsidR="003D3B49" w:rsidRPr="007C6A36">
        <w:rPr>
          <w:rFonts w:ascii="Gotham-Book" w:hAnsi="Gotham-Book" w:cs="Gotham-Book"/>
          <w:sz w:val="26"/>
          <w:szCs w:val="26"/>
        </w:rPr>
        <w:t xml:space="preserve"> per annum</w:t>
      </w:r>
      <w:r w:rsidR="00FC1D3E">
        <w:rPr>
          <w:rFonts w:ascii="Gotham-Book" w:hAnsi="Gotham-Book" w:cs="Gotham-Book"/>
          <w:sz w:val="22"/>
        </w:rPr>
        <w:t xml:space="preserve"> </w:t>
      </w:r>
    </w:p>
    <w:p w14:paraId="6AA4030E" w14:textId="77777777" w:rsidR="008D5830" w:rsidRPr="00CA2161" w:rsidRDefault="008D5830" w:rsidP="008D5830">
      <w:pPr>
        <w:rPr>
          <w:rFonts w:asciiTheme="minorHAnsi" w:hAnsiTheme="minorHAnsi" w:cstheme="minorHAnsi"/>
          <w:b/>
        </w:rPr>
      </w:pPr>
    </w:p>
    <w:p w14:paraId="7D8BFE93" w14:textId="16726497" w:rsidR="0017338B" w:rsidRDefault="001F44F9" w:rsidP="00B65B8C">
      <w:pPr>
        <w:ind w:left="2410" w:hanging="2410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sz w:val="26"/>
          <w:szCs w:val="26"/>
        </w:rPr>
        <w:t>RESPONSIBLE TO</w:t>
      </w:r>
      <w:r w:rsidR="008D5830" w:rsidRPr="00810E9E">
        <w:rPr>
          <w:rFonts w:asciiTheme="minorHAnsi" w:hAnsiTheme="minorHAnsi" w:cstheme="minorHAnsi"/>
          <w:b/>
          <w:sz w:val="26"/>
          <w:szCs w:val="26"/>
        </w:rPr>
        <w:tab/>
      </w:r>
      <w:r w:rsidR="005E4A12" w:rsidRPr="00810E9E">
        <w:rPr>
          <w:rFonts w:asciiTheme="minorHAnsi" w:hAnsiTheme="minorHAnsi" w:cstheme="minorHAnsi"/>
          <w:sz w:val="26"/>
          <w:szCs w:val="26"/>
        </w:rPr>
        <w:t>Chief Executive Officer</w:t>
      </w:r>
      <w:r w:rsidR="00600F41" w:rsidRPr="00810E9E">
        <w:rPr>
          <w:rFonts w:asciiTheme="minorHAnsi" w:hAnsiTheme="minorHAnsi" w:cstheme="minorHAnsi"/>
          <w:sz w:val="26"/>
          <w:szCs w:val="26"/>
        </w:rPr>
        <w:t xml:space="preserve"> (CEO)</w:t>
      </w:r>
    </w:p>
    <w:p w14:paraId="6D2DE8CF" w14:textId="77777777" w:rsidR="000A4864" w:rsidRDefault="000A4864"/>
    <w:tbl>
      <w:tblPr>
        <w:tblW w:w="10261" w:type="dxa"/>
        <w:tblInd w:w="-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1"/>
      </w:tblGrid>
      <w:tr w:rsidR="004F5791" w:rsidRPr="00810E9E" w14:paraId="6C845F3F" w14:textId="77777777" w:rsidTr="0017338B">
        <w:trPr>
          <w:trHeight w:hRule="exact" w:val="451"/>
        </w:trPr>
        <w:tc>
          <w:tcPr>
            <w:tcW w:w="102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538DD3"/>
          </w:tcPr>
          <w:p w14:paraId="5E5135A8" w14:textId="59DB5510" w:rsidR="004F5791" w:rsidRPr="00810E9E" w:rsidRDefault="004F5791" w:rsidP="00810E9E">
            <w:pPr>
              <w:pStyle w:val="TableParagraph"/>
              <w:kinsoku w:val="0"/>
              <w:overflowPunct w:val="0"/>
              <w:spacing w:before="118"/>
              <w:ind w:left="9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MAIN DUTIES</w:t>
            </w:r>
            <w:r w:rsidR="00994C99" w:rsidRPr="00810E9E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 AS LEAD OFFICER FOR THE PLANNING AND HIGHWAYS COMMITTEE</w:t>
            </w:r>
          </w:p>
        </w:tc>
      </w:tr>
      <w:tr w:rsidR="004F5791" w:rsidRPr="00810E9E" w14:paraId="11EDD0F5" w14:textId="77777777" w:rsidTr="00CA2161">
        <w:trPr>
          <w:trHeight w:hRule="exact" w:val="12478"/>
        </w:trPr>
        <w:tc>
          <w:tcPr>
            <w:tcW w:w="10261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4103BE6" w14:textId="6C4B85B5" w:rsidR="00F7002D" w:rsidRDefault="00F7002D" w:rsidP="00F7002D">
            <w:pPr>
              <w:pStyle w:val="TableParagraph"/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F7002D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Newbury Town Council is a consultee on planning matters in Newbury.  In addition to Planning Applications the Committee also considers Traffic Management, Highways and Road Safety matters.</w:t>
            </w:r>
            <w:r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The main duties in this role will be:</w:t>
            </w:r>
          </w:p>
          <w:p w14:paraId="11DB7FA8" w14:textId="24935E1A" w:rsidR="002C5D70" w:rsidRPr="002C5D70" w:rsidRDefault="002C5D70" w:rsidP="00351E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To prepare </w:t>
            </w:r>
            <w:r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high quality </w:t>
            </w: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agendas and reports for all matters to be considered by the</w:t>
            </w:r>
            <w:r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</w:t>
            </w: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Planning &amp; Highways Committee and present</w:t>
            </w:r>
            <w:r w:rsidR="00027ADA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ed</w:t>
            </w: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to the Committee at meetings</w:t>
            </w:r>
          </w:p>
          <w:p w14:paraId="6900321F" w14:textId="52AC4BFA" w:rsidR="002C5D70" w:rsidRPr="002C5D70" w:rsidRDefault="002C5D70" w:rsidP="002C5D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 ensure all decisions made by the Planning &amp; Highways Committee are lawful</w:t>
            </w:r>
          </w:p>
          <w:p w14:paraId="71F766D5" w14:textId="10D16458" w:rsidR="002C5D70" w:rsidRPr="002C5D70" w:rsidRDefault="002C5D70" w:rsidP="002C5D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 submit comments or responses in writing to the Local Planning Authority (West Berkshire District Council) or other bodies as may be required</w:t>
            </w:r>
          </w:p>
          <w:p w14:paraId="5F56ECB9" w14:textId="38832FDD" w:rsidR="002C5D70" w:rsidRPr="002C5D70" w:rsidRDefault="002C5D70" w:rsidP="002C5D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ab/>
              <w:t>Provision of general administrative support for the Planning &amp; Highways Committee</w:t>
            </w:r>
          </w:p>
          <w:p w14:paraId="1A10B16C" w14:textId="60252F2B" w:rsidR="002C5D70" w:rsidRPr="002C5D70" w:rsidRDefault="002C5D70" w:rsidP="002C5D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ab/>
              <w:t>To recommend improvements to procedures and working practices to bring about a more efficient service to the Town Council and the community</w:t>
            </w:r>
          </w:p>
          <w:p w14:paraId="00ED290F" w14:textId="77777777" w:rsidR="00027ADA" w:rsidRDefault="002C5D70" w:rsidP="002C5D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ab/>
              <w:t>To provide similar services for the Committee’s working groups (currently Town Centre, Canal Corridor, Heritage Working Group</w:t>
            </w:r>
            <w:r w:rsidR="00027ADA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,</w:t>
            </w: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and Neighbourhood Development Plan</w:t>
            </w:r>
            <w:r w:rsidR="00027ADA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Steering Group</w:t>
            </w:r>
            <w:r w:rsidRPr="002C5D70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)</w:t>
            </w:r>
            <w:r w:rsidR="00027ADA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. </w:t>
            </w:r>
          </w:p>
          <w:p w14:paraId="02BD59F7" w14:textId="077D6B43" w:rsidR="004F5791" w:rsidRPr="00810E9E" w:rsidRDefault="004F5791" w:rsidP="002C5D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kinsoku w:val="0"/>
              <w:overflowPunct w:val="0"/>
              <w:spacing w:before="60"/>
              <w:ind w:right="332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 organise, attend</w:t>
            </w:r>
            <w:r w:rsidR="00027ADA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,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and support meetings of the</w:t>
            </w:r>
            <w:r w:rsidR="0025184B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</w:t>
            </w:r>
            <w:r w:rsidR="004A5B2C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P</w:t>
            </w:r>
            <w:r w:rsidR="0025184B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lanning and Highways Committee and its Working groups </w:t>
            </w:r>
          </w:p>
          <w:p w14:paraId="6E449CAE" w14:textId="3E2ABED6" w:rsidR="00886F08" w:rsidRPr="00810E9E" w:rsidRDefault="00886F08" w:rsidP="00886F08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57"/>
              <w:ind w:right="121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To offer advice on the </w:t>
            </w:r>
            <w:r w:rsidR="007B354C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Council’s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Standing Orders and Procedure Rules to members of the Committee and officers about decision-making processes and Council pro</w:t>
            </w:r>
            <w:r w:rsidR="00382688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tocol</w:t>
            </w:r>
          </w:p>
          <w:p w14:paraId="353103AA" w14:textId="3D8E0229" w:rsidR="004F5791" w:rsidRPr="00810E9E" w:rsidRDefault="004F5791" w:rsidP="00001DC9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57"/>
              <w:ind w:right="214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To take responsibility for co-ordinating the creation and production of </w:t>
            </w:r>
            <w:proofErr w:type="gramStart"/>
            <w:r w:rsidR="00382688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high quality</w:t>
            </w:r>
            <w:proofErr w:type="gramEnd"/>
            <w:r w:rsidR="00382688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agendas and minutes</w:t>
            </w:r>
            <w:r w:rsidR="00340CAD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in consultation with </w:t>
            </w:r>
            <w:r w:rsidR="000963EF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the CEO and </w:t>
            </w:r>
            <w:r w:rsidR="00941947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Chair’s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, and ensure that all documents are available on the Council’s websit</w:t>
            </w:r>
            <w:r w:rsidR="000963EF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e</w:t>
            </w:r>
          </w:p>
          <w:p w14:paraId="34666DAC" w14:textId="0BF5B3DE" w:rsidR="004F5791" w:rsidRPr="00810E9E" w:rsidRDefault="004F5791" w:rsidP="00001DC9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57"/>
              <w:ind w:right="870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 produce accurate and clear records of meetings, to capture and</w:t>
            </w:r>
            <w:r w:rsidRPr="00810E9E">
              <w:rPr>
                <w:rFonts w:asciiTheme="minorHAnsi" w:hAnsiTheme="minorHAnsi" w:cstheme="minorHAnsi"/>
                <w:color w:val="252525"/>
                <w:spacing w:val="-27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then monitor key actions</w:t>
            </w:r>
            <w:r w:rsidR="00941947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,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and understand complex</w:t>
            </w:r>
            <w:r w:rsidRPr="00810E9E">
              <w:rPr>
                <w:rFonts w:asciiTheme="minorHAnsi" w:hAnsiTheme="minorHAnsi" w:cstheme="minorHAnsi"/>
                <w:color w:val="252525"/>
                <w:spacing w:val="-19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documents</w:t>
            </w:r>
          </w:p>
          <w:p w14:paraId="588A32F4" w14:textId="77777777" w:rsidR="004F5791" w:rsidRPr="00810E9E" w:rsidRDefault="004F5791" w:rsidP="00001DC9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60"/>
              <w:ind w:right="127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To ensure that all reports submitted are presented in the agreed format </w:t>
            </w:r>
            <w:r w:rsidRPr="00810E9E">
              <w:rPr>
                <w:rFonts w:asciiTheme="minorHAnsi" w:hAnsiTheme="minorHAnsi" w:cstheme="minorHAnsi"/>
                <w:color w:val="252525"/>
                <w:spacing w:val="2"/>
                <w:sz w:val="26"/>
                <w:szCs w:val="26"/>
              </w:rPr>
              <w:t>and</w:t>
            </w:r>
            <w:r w:rsidRPr="00810E9E">
              <w:rPr>
                <w:rFonts w:asciiTheme="minorHAnsi" w:hAnsiTheme="minorHAnsi" w:cstheme="minorHAnsi"/>
                <w:color w:val="252525"/>
                <w:spacing w:val="-25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comply with current policies and procedures, ensuing that appropriate information is provided to enable effective</w:t>
            </w:r>
            <w:r w:rsidRPr="00810E9E">
              <w:rPr>
                <w:rFonts w:asciiTheme="minorHAnsi" w:hAnsiTheme="minorHAnsi" w:cstheme="minorHAnsi"/>
                <w:color w:val="252525"/>
                <w:spacing w:val="-14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decision-making.</w:t>
            </w:r>
          </w:p>
          <w:p w14:paraId="2D39AD56" w14:textId="0A1C4AED" w:rsidR="004F5791" w:rsidRPr="00810E9E" w:rsidRDefault="004F5791" w:rsidP="00001DC9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55"/>
              <w:ind w:right="130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 maintain high standards and contribute to the continuous improvement of the service and embrace the latest technology in carrying out the role</w:t>
            </w:r>
          </w:p>
          <w:p w14:paraId="6EB5FE18" w14:textId="0D998E01" w:rsidR="004F5791" w:rsidRDefault="004F5791" w:rsidP="00001DC9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60"/>
              <w:ind w:right="231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To have a good working knowledge of </w:t>
            </w:r>
            <w:r w:rsidR="001C6100"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virtual/remote meetings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and other technological equipment in the Council Chamber and other meeting venues, and able to</w:t>
            </w:r>
            <w:r w:rsidRPr="00810E9E">
              <w:rPr>
                <w:rFonts w:asciiTheme="minorHAnsi" w:hAnsiTheme="minorHAnsi" w:cstheme="minorHAnsi"/>
                <w:color w:val="252525"/>
                <w:spacing w:val="-31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operate them</w:t>
            </w:r>
            <w:r w:rsidRPr="00810E9E">
              <w:rPr>
                <w:rFonts w:asciiTheme="minorHAnsi" w:hAnsiTheme="minorHAnsi" w:cstheme="minorHAnsi"/>
                <w:color w:val="252525"/>
                <w:spacing w:val="-5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effectively</w:t>
            </w:r>
          </w:p>
          <w:p w14:paraId="56E97934" w14:textId="43DB5BAE" w:rsidR="00CA2161" w:rsidRPr="00810E9E" w:rsidRDefault="00CA2161" w:rsidP="00001DC9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spacing w:before="60"/>
              <w:ind w:right="231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CA2161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Attend training when required to keep updated on all aspects of your duties and keep </w:t>
            </w:r>
            <w:proofErr w:type="gramStart"/>
            <w:r w:rsidRPr="00CA2161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up-to-date</w:t>
            </w:r>
            <w:proofErr w:type="gramEnd"/>
            <w:r w:rsidRPr="00CA2161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 with legislation, advice and procedural requirements relating to Democratic Services.</w:t>
            </w:r>
          </w:p>
          <w:p w14:paraId="472C84C2" w14:textId="2C47867C" w:rsidR="004F5791" w:rsidRPr="00810E9E" w:rsidRDefault="004F5791" w:rsidP="00810E9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kinsoku w:val="0"/>
              <w:overflowPunct w:val="0"/>
              <w:ind w:right="1096"/>
              <w:rPr>
                <w:rFonts w:asciiTheme="minorHAnsi" w:hAnsiTheme="minorHAnsi" w:cstheme="minorHAnsi"/>
                <w:color w:val="252525"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>To ensure appropriate arrangements are in place for public participation</w:t>
            </w:r>
            <w:r w:rsidRPr="00810E9E">
              <w:rPr>
                <w:rFonts w:asciiTheme="minorHAnsi" w:hAnsiTheme="minorHAnsi" w:cstheme="minorHAnsi"/>
                <w:color w:val="252525"/>
                <w:spacing w:val="-22"/>
                <w:sz w:val="26"/>
                <w:szCs w:val="26"/>
              </w:rPr>
              <w:t xml:space="preserve"> </w:t>
            </w:r>
            <w:r w:rsidRPr="00810E9E">
              <w:rPr>
                <w:rFonts w:asciiTheme="minorHAnsi" w:hAnsiTheme="minorHAnsi" w:cstheme="minorHAnsi"/>
                <w:color w:val="252525"/>
                <w:sz w:val="26"/>
                <w:szCs w:val="26"/>
              </w:rPr>
              <w:t xml:space="preserve">in meetings </w:t>
            </w:r>
          </w:p>
        </w:tc>
      </w:tr>
    </w:tbl>
    <w:p w14:paraId="12473B41" w14:textId="77777777" w:rsidR="00433773" w:rsidRPr="00810E9E" w:rsidRDefault="00433773">
      <w:pPr>
        <w:rPr>
          <w:rFonts w:asciiTheme="minorHAnsi" w:hAnsiTheme="minorHAnsi" w:cstheme="minorHAnsi"/>
          <w:sz w:val="26"/>
          <w:szCs w:val="26"/>
        </w:rPr>
      </w:pPr>
    </w:p>
    <w:p w14:paraId="47C28157" w14:textId="77777777" w:rsidR="00EB7A71" w:rsidRDefault="00EB7A71" w:rsidP="00B65B8C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pPr w:leftFromText="180" w:rightFromText="180" w:vertAnchor="text" w:horzAnchor="margin" w:tblpY="-99"/>
        <w:tblW w:w="10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7"/>
      </w:tblGrid>
      <w:tr w:rsidR="00AC1502" w:rsidRPr="00810E9E" w14:paraId="6A4977EA" w14:textId="77777777" w:rsidTr="001E1ADA">
        <w:trPr>
          <w:trHeight w:hRule="exact" w:val="441"/>
        </w:trPr>
        <w:tc>
          <w:tcPr>
            <w:tcW w:w="101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538DD3"/>
          </w:tcPr>
          <w:p w14:paraId="1839539D" w14:textId="3545F8AF" w:rsidR="00AC1502" w:rsidRPr="00810E9E" w:rsidRDefault="00AC1502" w:rsidP="001E1ADA">
            <w:pPr>
              <w:pStyle w:val="TableParagraph"/>
              <w:kinsoku w:val="0"/>
              <w:overflowPunct w:val="0"/>
              <w:spacing w:before="118"/>
              <w:ind w:left="9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OTHER </w:t>
            </w:r>
            <w:r w:rsidRPr="00810E9E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PRINCIPAL </w:t>
            </w:r>
            <w:r w:rsidR="003829DD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DEMOCRATIC SERVICES </w:t>
            </w:r>
            <w:r w:rsidRPr="00810E9E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DUTIES </w:t>
            </w:r>
          </w:p>
        </w:tc>
      </w:tr>
      <w:tr w:rsidR="00AC1502" w:rsidRPr="00810E9E" w14:paraId="09D29BD0" w14:textId="77777777" w:rsidTr="004A5B2C">
        <w:trPr>
          <w:trHeight w:hRule="exact" w:val="8361"/>
        </w:trPr>
        <w:tc>
          <w:tcPr>
            <w:tcW w:w="101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F8A2998" w14:textId="3A8F3243" w:rsidR="00AC1502" w:rsidRDefault="00AC1502" w:rsidP="001E1ADA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Support the co-ordination and planning of committees, meetings, and working groups as directed</w:t>
            </w:r>
            <w:r w:rsidR="004A5B2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, </w:t>
            </w: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ensuring compliance with all relevant Standing Orders.</w:t>
            </w:r>
          </w:p>
          <w:p w14:paraId="126A810A" w14:textId="77777777" w:rsidR="00AC1502" w:rsidRPr="004A5B2C" w:rsidRDefault="00AC1502" w:rsidP="001E1ADA">
            <w:pPr>
              <w:pStyle w:val="ListParagraph"/>
              <w:ind w:left="71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AE527CA" w14:textId="77777777" w:rsidR="00AC1502" w:rsidRDefault="00AC1502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S</w:t>
            </w: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upport managers and officers to respond to pre-set deadlines and requirements in order that agendas and minutes are produced on time and meet all statutory requirements, particularly in relation to public access to information.</w:t>
            </w:r>
          </w:p>
          <w:p w14:paraId="64342AFA" w14:textId="77777777" w:rsidR="00AC1502" w:rsidRPr="004A5B2C" w:rsidRDefault="00AC1502" w:rsidP="001E1A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061944F" w14:textId="77777777" w:rsidR="00AC1502" w:rsidRDefault="00AC1502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To ensure the production of </w:t>
            </w:r>
            <w:proofErr w:type="gramStart"/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high quality</w:t>
            </w:r>
            <w:proofErr w:type="gramEnd"/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agendas, despatched at the appropriate time and in accordance with statutory deadlines and performance indicators</w:t>
            </w:r>
          </w:p>
          <w:p w14:paraId="7A836C38" w14:textId="77777777" w:rsidR="00AC1502" w:rsidRPr="004A5B2C" w:rsidRDefault="00AC1502" w:rsidP="001E1ADA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EDB922A" w14:textId="77777777" w:rsidR="00AC1502" w:rsidRDefault="00AC1502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To ensure that other managers and officers are notified of decisions taken at committee and other meetings as appropriate.</w:t>
            </w:r>
          </w:p>
          <w:p w14:paraId="6883056F" w14:textId="77777777" w:rsidR="00AC1502" w:rsidRPr="004A5B2C" w:rsidRDefault="00AC1502" w:rsidP="001E1ADA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5746BAA" w14:textId="77777777" w:rsidR="00AC1502" w:rsidRDefault="00AC1502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To provide advice and guidance to Elected Members, both during and outside of Committee meetings</w:t>
            </w:r>
          </w:p>
          <w:p w14:paraId="5E53014B" w14:textId="77777777" w:rsidR="00AC1502" w:rsidRPr="004A5B2C" w:rsidRDefault="00AC1502" w:rsidP="001E1ADA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1657E5A" w14:textId="77777777" w:rsidR="00AC1502" w:rsidRDefault="00AC1502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To support the CEO in providing Member Induction and Training</w:t>
            </w:r>
          </w:p>
          <w:p w14:paraId="1DAD0FF3" w14:textId="77777777" w:rsidR="00AC1502" w:rsidRPr="004A5B2C" w:rsidRDefault="00AC1502" w:rsidP="001E1A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89EB76C" w14:textId="1D2575C2" w:rsidR="00AC1502" w:rsidRDefault="00AC1502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Support the collation, maintenance and publication of statutorily required and other information relating to Members </w:t>
            </w:r>
            <w:proofErr w:type="gramStart"/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>e.g.</w:t>
            </w:r>
            <w:proofErr w:type="gramEnd"/>
            <w:r w:rsidRPr="00810E9E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Registers of Interests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.</w:t>
            </w:r>
          </w:p>
          <w:p w14:paraId="6C274D99" w14:textId="77777777" w:rsidR="005C2CDB" w:rsidRPr="004A5B2C" w:rsidRDefault="005C2CDB" w:rsidP="001E1ADA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1235EEE" w14:textId="13AAFF42" w:rsidR="005C2CDB" w:rsidRDefault="005C2CDB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Support the CEO in the Council’s compliance with Data Protection and </w:t>
            </w:r>
            <w:r w:rsidR="002A78F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Freedom of Information </w:t>
            </w:r>
            <w:r w:rsidR="00B6174B">
              <w:rPr>
                <w:rFonts w:asciiTheme="minorHAnsi" w:hAnsiTheme="minorHAnsi" w:cstheme="minorHAnsi"/>
                <w:bCs/>
                <w:sz w:val="26"/>
                <w:szCs w:val="26"/>
              </w:rPr>
              <w:t>L</w:t>
            </w:r>
            <w:r w:rsidR="002A78F7">
              <w:rPr>
                <w:rFonts w:asciiTheme="minorHAnsi" w:hAnsiTheme="minorHAnsi" w:cstheme="minorHAnsi"/>
                <w:bCs/>
                <w:sz w:val="26"/>
                <w:szCs w:val="26"/>
              </w:rPr>
              <w:t>egislation</w:t>
            </w:r>
            <w:r w:rsidR="00B6174B">
              <w:rPr>
                <w:rFonts w:asciiTheme="minorHAnsi" w:hAnsiTheme="minorHAnsi" w:cstheme="minorHAnsi"/>
                <w:bCs/>
                <w:sz w:val="26"/>
                <w:szCs w:val="26"/>
              </w:rPr>
              <w:t>.</w:t>
            </w:r>
          </w:p>
          <w:p w14:paraId="0BFCF107" w14:textId="77777777" w:rsidR="00307303" w:rsidRPr="004A5B2C" w:rsidRDefault="00307303" w:rsidP="001E1ADA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CB67396" w14:textId="08235B9E" w:rsidR="004A5B2C" w:rsidRDefault="004A5B2C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To work with other officers to maintain/ improve the Council’s website and social media content</w:t>
            </w:r>
          </w:p>
          <w:p w14:paraId="05CCB96C" w14:textId="77777777" w:rsidR="004A5B2C" w:rsidRPr="004A5B2C" w:rsidRDefault="004A5B2C" w:rsidP="004A5B2C">
            <w:pPr>
              <w:pStyle w:val="List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3499B2C" w14:textId="48AA65C5" w:rsidR="004976FE" w:rsidRPr="004A5B2C" w:rsidRDefault="00307303" w:rsidP="001E1AD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307303">
              <w:rPr>
                <w:rFonts w:asciiTheme="minorHAnsi" w:hAnsiTheme="minorHAnsi" w:cstheme="minorHAnsi"/>
                <w:bCs/>
                <w:sz w:val="26"/>
                <w:szCs w:val="26"/>
              </w:rPr>
              <w:t>Such other duties which may from time to time be required consistent with the grading of the post.</w:t>
            </w:r>
          </w:p>
        </w:tc>
      </w:tr>
      <w:tr w:rsidR="001E1ADA" w:rsidRPr="00810E9E" w14:paraId="3901F0E2" w14:textId="77777777" w:rsidTr="0008167A">
        <w:trPr>
          <w:trHeight w:hRule="exact" w:val="437"/>
        </w:trPr>
        <w:tc>
          <w:tcPr>
            <w:tcW w:w="10197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0070C0"/>
          </w:tcPr>
          <w:p w14:paraId="21C260A2" w14:textId="60A83169" w:rsidR="001E1ADA" w:rsidRPr="00577D3F" w:rsidRDefault="0008167A" w:rsidP="00DD7AE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577D3F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en-GB"/>
              </w:rPr>
              <w:t>DIMENSIONS OF THE ROLE</w:t>
            </w:r>
          </w:p>
        </w:tc>
      </w:tr>
      <w:tr w:rsidR="001E1ADA" w:rsidRPr="00810E9E" w14:paraId="04AA005B" w14:textId="77777777" w:rsidTr="004948AE">
        <w:trPr>
          <w:trHeight w:hRule="exact" w:val="5656"/>
        </w:trPr>
        <w:tc>
          <w:tcPr>
            <w:tcW w:w="10197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8E1BA89" w14:textId="6519026B" w:rsidR="001E1ADA" w:rsidRDefault="004948AE" w:rsidP="001E1ADA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T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he postholder will be expected to attend approximately </w:t>
            </w:r>
            <w:r w:rsidR="00040056">
              <w:rPr>
                <w:rFonts w:asciiTheme="minorHAnsi" w:hAnsiTheme="minorHAnsi" w:cstheme="minorHAnsi"/>
                <w:bCs/>
                <w:sz w:val="26"/>
                <w:szCs w:val="26"/>
              </w:rPr>
              <w:t>one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member- level meeting per week. Committee </w:t>
            </w:r>
            <w:r w:rsidR="00A1640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meetings 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are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usually 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>held in the evening</w:t>
            </w:r>
            <w:r w:rsidR="00A1640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s, commencing 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at </w:t>
            </w:r>
            <w:r w:rsidR="003478FC">
              <w:rPr>
                <w:rFonts w:asciiTheme="minorHAnsi" w:hAnsiTheme="minorHAnsi" w:cstheme="minorHAnsi"/>
                <w:bCs/>
                <w:sz w:val="26"/>
                <w:szCs w:val="26"/>
              </w:rPr>
              <w:t>7.30 pm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. </w:t>
            </w:r>
            <w:r w:rsidR="00040056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Working </w:t>
            </w:r>
            <w:r w:rsidR="00027463">
              <w:rPr>
                <w:rFonts w:asciiTheme="minorHAnsi" w:hAnsiTheme="minorHAnsi" w:cstheme="minorHAnsi"/>
                <w:bCs/>
                <w:sz w:val="26"/>
                <w:szCs w:val="26"/>
              </w:rPr>
              <w:t>G</w:t>
            </w:r>
            <w:r w:rsidR="00040056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roup meetings can </w:t>
            </w:r>
            <w:r w:rsidR="006A622A">
              <w:rPr>
                <w:rFonts w:asciiTheme="minorHAnsi" w:hAnsiTheme="minorHAnsi" w:cstheme="minorHAnsi"/>
                <w:bCs/>
                <w:sz w:val="26"/>
                <w:szCs w:val="26"/>
              </w:rPr>
              <w:t>take place during working hours or may be in the evening</w:t>
            </w:r>
            <w:r w:rsidR="00A16402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(sometimes on Zoom)</w:t>
            </w:r>
            <w:r w:rsidR="006A622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. 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The postholder is expected to provide immediate and accurate advice to the Chairman and members of the Committee at meetings and is </w:t>
            </w:r>
            <w:r w:rsidR="0069052A">
              <w:rPr>
                <w:rFonts w:asciiTheme="minorHAnsi" w:hAnsiTheme="minorHAnsi" w:cstheme="minorHAnsi"/>
                <w:bCs/>
                <w:sz w:val="26"/>
                <w:szCs w:val="26"/>
              </w:rPr>
              <w:t>sometimes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the only </w:t>
            </w:r>
            <w:r w:rsidR="0069052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Officer of the </w:t>
            </w:r>
            <w:r w:rsidR="00A16402">
              <w:rPr>
                <w:rFonts w:asciiTheme="minorHAnsi" w:hAnsiTheme="minorHAnsi" w:cstheme="minorHAnsi"/>
                <w:bCs/>
                <w:sz w:val="26"/>
                <w:szCs w:val="26"/>
              </w:rPr>
              <w:t>C</w:t>
            </w:r>
            <w:r w:rsidR="0069052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ouncil </w:t>
            </w:r>
            <w:r w:rsidR="003478FC" w:rsidRPr="003478FC">
              <w:rPr>
                <w:rFonts w:asciiTheme="minorHAnsi" w:hAnsiTheme="minorHAnsi" w:cstheme="minorHAnsi"/>
                <w:bCs/>
                <w:sz w:val="26"/>
                <w:szCs w:val="26"/>
              </w:rPr>
              <w:t>in attendance.</w:t>
            </w:r>
          </w:p>
          <w:p w14:paraId="0A7D313B" w14:textId="77777777" w:rsidR="006A622A" w:rsidRPr="004948AE" w:rsidRDefault="006A622A" w:rsidP="001E1A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80DE84C" w14:textId="7BAA4094" w:rsidR="006A622A" w:rsidRDefault="006A622A" w:rsidP="001E1ADA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Evening work will be compensated through </w:t>
            </w:r>
            <w:r w:rsidR="00A16402">
              <w:rPr>
                <w:rFonts w:asciiTheme="minorHAnsi" w:hAnsiTheme="minorHAnsi" w:cstheme="minorHAnsi"/>
                <w:bCs/>
                <w:sz w:val="26"/>
                <w:szCs w:val="26"/>
              </w:rPr>
              <w:t>paid overtime.</w:t>
            </w:r>
          </w:p>
          <w:p w14:paraId="5DFB72DD" w14:textId="77777777" w:rsidR="00E7498E" w:rsidRPr="004948AE" w:rsidRDefault="00E7498E" w:rsidP="001E1A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02A1940" w14:textId="20F4E2B3" w:rsidR="00E7498E" w:rsidRDefault="004948AE" w:rsidP="001E1ADA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The Council is open to some flexible/remote working arrangements but the postholder must attend Committee meetings and any other meetings held in the Town Hall. </w:t>
            </w:r>
            <w:r w:rsidR="00E7498E">
              <w:rPr>
                <w:rFonts w:asciiTheme="minorHAnsi" w:hAnsiTheme="minorHAnsi" w:cstheme="minorHAnsi"/>
                <w:bCs/>
                <w:sz w:val="26"/>
                <w:szCs w:val="26"/>
              </w:rPr>
              <w:t>The Post holder will be entitled to 2</w:t>
            </w:r>
            <w:r w:rsidR="00C7381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1 </w:t>
            </w:r>
            <w:r w:rsidR="00E7498E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days annual leave per annum, rising to </w:t>
            </w:r>
            <w:r w:rsidR="00C7381A">
              <w:rPr>
                <w:rFonts w:asciiTheme="minorHAnsi" w:hAnsiTheme="minorHAnsi" w:cstheme="minorHAnsi"/>
                <w:bCs/>
                <w:sz w:val="26"/>
                <w:szCs w:val="26"/>
              </w:rPr>
              <w:t>25</w:t>
            </w:r>
            <w:r w:rsidR="00E7498E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days per annum after 5 years’ service.</w:t>
            </w:r>
            <w:r w:rsidR="005E44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5E4497" w:rsidRPr="005E4497">
              <w:rPr>
                <w:rFonts w:asciiTheme="minorHAnsi" w:hAnsiTheme="minorHAnsi" w:cstheme="minorHAnsi"/>
                <w:bCs/>
                <w:sz w:val="26"/>
                <w:szCs w:val="26"/>
              </w:rPr>
              <w:t>In addition</w:t>
            </w:r>
            <w:r w:rsidR="005E44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, there are also </w:t>
            </w:r>
            <w:r w:rsidR="005E4497" w:rsidRPr="005E4497">
              <w:rPr>
                <w:rFonts w:asciiTheme="minorHAnsi" w:hAnsiTheme="minorHAnsi" w:cstheme="minorHAnsi"/>
                <w:bCs/>
                <w:sz w:val="26"/>
                <w:szCs w:val="26"/>
              </w:rPr>
              <w:t>2 statutory leave days to be taken as determined by the Council.</w:t>
            </w:r>
          </w:p>
          <w:p w14:paraId="257CC8C8" w14:textId="77777777" w:rsidR="00E7498E" w:rsidRPr="00CA2161" w:rsidRDefault="00E7498E" w:rsidP="001E1A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4C70959" w14:textId="77777777" w:rsidR="00E7498E" w:rsidRDefault="00E7498E" w:rsidP="001E1ADA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The post holder will be enrolled in the </w:t>
            </w:r>
            <w:r w:rsidR="00D32D4D">
              <w:rPr>
                <w:rFonts w:asciiTheme="minorHAnsi" w:hAnsiTheme="minorHAnsi" w:cstheme="minorHAnsi"/>
                <w:bCs/>
                <w:sz w:val="26"/>
                <w:szCs w:val="26"/>
              </w:rPr>
              <w:t>Local Government Pension Scheme.</w:t>
            </w:r>
          </w:p>
          <w:p w14:paraId="0101BD63" w14:textId="77777777" w:rsidR="00897CFB" w:rsidRPr="00CA2161" w:rsidRDefault="00897CFB" w:rsidP="001E1AD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0421A4B" w14:textId="77777777" w:rsidR="00897CFB" w:rsidRDefault="00897CFB" w:rsidP="001E1ADA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The Post Holder will be expected to continue self-development</w:t>
            </w:r>
            <w:r w:rsidR="00DD4B5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. The Council will provide a thorough induction programme and </w:t>
            </w:r>
            <w:r w:rsidR="00EB7A71">
              <w:rPr>
                <w:rFonts w:asciiTheme="minorHAnsi" w:hAnsiTheme="minorHAnsi" w:cstheme="minorHAnsi"/>
                <w:bCs/>
                <w:sz w:val="26"/>
                <w:szCs w:val="26"/>
              </w:rPr>
              <w:t>some mandatory training will be required.</w:t>
            </w:r>
          </w:p>
          <w:p w14:paraId="685E4C82" w14:textId="692DE1F3" w:rsidR="004948AE" w:rsidRPr="001E1ADA" w:rsidRDefault="004948AE" w:rsidP="001E1ADA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14:paraId="7734DDBE" w14:textId="77777777" w:rsidR="00A16402" w:rsidRDefault="00A16402" w:rsidP="00307303">
      <w:pPr>
        <w:rPr>
          <w:rFonts w:asciiTheme="minorHAnsi" w:hAnsiTheme="minorHAnsi" w:cstheme="minorHAnsi"/>
          <w:b/>
          <w:sz w:val="26"/>
          <w:szCs w:val="26"/>
        </w:rPr>
      </w:pPr>
    </w:p>
    <w:p w14:paraId="35209499" w14:textId="77777777" w:rsidR="00DE3DF9" w:rsidRDefault="00DE3DF9" w:rsidP="00307303">
      <w:pPr>
        <w:rPr>
          <w:rFonts w:asciiTheme="minorHAnsi" w:hAnsiTheme="minorHAnsi" w:cstheme="minorHAnsi"/>
          <w:b/>
          <w:sz w:val="26"/>
          <w:szCs w:val="26"/>
        </w:rPr>
      </w:pPr>
    </w:p>
    <w:p w14:paraId="7384C22D" w14:textId="77777777" w:rsidR="00DE3DF9" w:rsidRDefault="00DE3DF9" w:rsidP="00307303">
      <w:pPr>
        <w:rPr>
          <w:rFonts w:asciiTheme="minorHAnsi" w:hAnsiTheme="minorHAnsi" w:cstheme="minorHAnsi"/>
          <w:b/>
          <w:sz w:val="26"/>
          <w:szCs w:val="26"/>
        </w:rPr>
      </w:pPr>
    </w:p>
    <w:p w14:paraId="6172AE12" w14:textId="05876117" w:rsidR="00307303" w:rsidRDefault="00D47A0F" w:rsidP="00307303">
      <w:pPr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sz w:val="26"/>
          <w:szCs w:val="26"/>
        </w:rPr>
        <w:t>GENERA</w:t>
      </w:r>
      <w:r w:rsidR="00DE3DF9">
        <w:rPr>
          <w:rFonts w:asciiTheme="minorHAnsi" w:hAnsiTheme="minorHAnsi" w:cstheme="minorHAnsi"/>
          <w:b/>
          <w:sz w:val="26"/>
          <w:szCs w:val="26"/>
        </w:rPr>
        <w:t>L OFFICER REQUIREMENTS</w:t>
      </w:r>
    </w:p>
    <w:p w14:paraId="6AA4036E" w14:textId="5A6FBDA1" w:rsidR="00603F1B" w:rsidRPr="00307303" w:rsidRDefault="00EA286C" w:rsidP="00636452">
      <w:pPr>
        <w:rPr>
          <w:rFonts w:asciiTheme="minorHAnsi" w:hAnsiTheme="minorHAnsi" w:cstheme="minorHAnsi"/>
          <w:b/>
          <w:sz w:val="26"/>
          <w:szCs w:val="26"/>
        </w:rPr>
      </w:pPr>
      <w:r w:rsidRPr="00810E9E">
        <w:rPr>
          <w:rFonts w:asciiTheme="minorHAnsi" w:hAnsiTheme="minorHAnsi" w:cstheme="minorHAnsi"/>
          <w:b/>
          <w:sz w:val="26"/>
          <w:szCs w:val="26"/>
        </w:rPr>
        <w:tab/>
      </w:r>
    </w:p>
    <w:p w14:paraId="1864EE94" w14:textId="77777777" w:rsidR="0087418D" w:rsidRPr="00810E9E" w:rsidRDefault="0087418D" w:rsidP="0087418D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bCs/>
          <w:sz w:val="26"/>
          <w:szCs w:val="26"/>
        </w:rPr>
        <w:t xml:space="preserve">Professional Accountabilities: </w:t>
      </w:r>
    </w:p>
    <w:p w14:paraId="73217356" w14:textId="0035E8AC" w:rsidR="0087418D" w:rsidRDefault="0087418D" w:rsidP="0087418D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sz w:val="26"/>
          <w:szCs w:val="26"/>
        </w:rPr>
        <w:t>The post holder is required to contribute to the achievement of the Council</w:t>
      </w:r>
      <w:r w:rsidR="00A71CEC">
        <w:rPr>
          <w:rFonts w:asciiTheme="minorHAnsi" w:hAnsiTheme="minorHAnsi" w:cstheme="minorHAnsi"/>
          <w:sz w:val="26"/>
          <w:szCs w:val="26"/>
        </w:rPr>
        <w:t>’s</w:t>
      </w:r>
      <w:r w:rsidRPr="00810E9E">
        <w:rPr>
          <w:rFonts w:asciiTheme="minorHAnsi" w:hAnsiTheme="minorHAnsi" w:cstheme="minorHAnsi"/>
          <w:sz w:val="26"/>
          <w:szCs w:val="26"/>
        </w:rPr>
        <w:t xml:space="preserve"> objectives through: </w:t>
      </w:r>
    </w:p>
    <w:p w14:paraId="65894B3D" w14:textId="77777777" w:rsidR="00614161" w:rsidRPr="00810E9E" w:rsidRDefault="00614161" w:rsidP="0087418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6552A6B2" w14:textId="77777777" w:rsidR="0087418D" w:rsidRPr="00810E9E" w:rsidRDefault="0087418D" w:rsidP="00AE350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bCs/>
          <w:sz w:val="26"/>
          <w:szCs w:val="26"/>
        </w:rPr>
        <w:t xml:space="preserve">Financial Management </w:t>
      </w:r>
    </w:p>
    <w:p w14:paraId="2ED1EFA1" w14:textId="0634AD1D" w:rsidR="0087418D" w:rsidRDefault="0087418D" w:rsidP="00AE3502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sz w:val="26"/>
          <w:szCs w:val="26"/>
        </w:rPr>
        <w:t xml:space="preserve">Personal accountability for delivering services efficiently, effectively, within budget and to implement any approved savings and investment allocated to the service. </w:t>
      </w:r>
    </w:p>
    <w:p w14:paraId="1A44367D" w14:textId="77777777" w:rsidR="004D4397" w:rsidRPr="00810E9E" w:rsidRDefault="004D4397" w:rsidP="00CA2161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54BB31BE" w14:textId="2C7017FF" w:rsidR="00CA2161" w:rsidRPr="00CA2161" w:rsidRDefault="00CA2161" w:rsidP="00AE350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bookmarkStart w:id="0" w:name="_Hlk115439267"/>
      <w:r>
        <w:rPr>
          <w:rFonts w:asciiTheme="minorHAnsi" w:hAnsiTheme="minorHAnsi" w:cstheme="minorHAnsi"/>
          <w:b/>
          <w:bCs/>
          <w:sz w:val="26"/>
          <w:szCs w:val="26"/>
        </w:rPr>
        <w:t>Customer Service</w:t>
      </w:r>
    </w:p>
    <w:p w14:paraId="63556089" w14:textId="090CFC63" w:rsidR="00CA2161" w:rsidRDefault="00CA2161" w:rsidP="00CA2161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employees of the Council are ambassadors of the Council when dealing with the public. </w:t>
      </w:r>
      <w:r w:rsidR="00353E25">
        <w:rPr>
          <w:rFonts w:asciiTheme="minorHAnsi" w:hAnsiTheme="minorHAnsi" w:cstheme="minorHAnsi"/>
          <w:sz w:val="26"/>
          <w:szCs w:val="26"/>
        </w:rPr>
        <w:t xml:space="preserve">Officers of the Council are expected to be courteous, helpful and professional when dealing with </w:t>
      </w:r>
      <w:r w:rsidR="00813A90">
        <w:rPr>
          <w:rFonts w:asciiTheme="minorHAnsi" w:hAnsiTheme="minorHAnsi" w:cstheme="minorHAnsi"/>
          <w:sz w:val="26"/>
          <w:szCs w:val="26"/>
        </w:rPr>
        <w:t>the public, the elected members of the Council and with colleagues.</w:t>
      </w:r>
    </w:p>
    <w:bookmarkEnd w:id="0"/>
    <w:p w14:paraId="523B0CAC" w14:textId="77777777" w:rsidR="00813A90" w:rsidRPr="00CA2161" w:rsidRDefault="00813A90" w:rsidP="00CA2161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</w:p>
    <w:p w14:paraId="0A879386" w14:textId="696B4ECE" w:rsidR="0087418D" w:rsidRPr="00810E9E" w:rsidRDefault="0087418D" w:rsidP="00AE350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bCs/>
          <w:sz w:val="26"/>
          <w:szCs w:val="26"/>
        </w:rPr>
        <w:t xml:space="preserve">Equalities </w:t>
      </w:r>
    </w:p>
    <w:p w14:paraId="0E333E99" w14:textId="18AC0C16" w:rsidR="0087418D" w:rsidRDefault="0087418D" w:rsidP="00AE3502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sz w:val="26"/>
          <w:szCs w:val="26"/>
        </w:rPr>
        <w:t xml:space="preserve">Ensuring that all work is completed with a commitment to equality and anti-discriminatory practice, as a minimum to standards required by legislation. </w:t>
      </w:r>
    </w:p>
    <w:p w14:paraId="06599B3C" w14:textId="77777777" w:rsidR="004D4397" w:rsidRPr="00810E9E" w:rsidRDefault="004D4397" w:rsidP="00614161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6070D6B8" w14:textId="0EB4F9E6" w:rsidR="00813A90" w:rsidRPr="00813A90" w:rsidRDefault="00813A90" w:rsidP="00AE350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bookmarkStart w:id="1" w:name="_Hlk115439315"/>
      <w:r>
        <w:rPr>
          <w:rFonts w:asciiTheme="minorHAnsi" w:hAnsiTheme="minorHAnsi" w:cstheme="minorHAnsi"/>
          <w:b/>
          <w:bCs/>
          <w:sz w:val="26"/>
          <w:szCs w:val="26"/>
        </w:rPr>
        <w:t>Corporate Responsibility</w:t>
      </w:r>
    </w:p>
    <w:p w14:paraId="0CE83E59" w14:textId="77777777" w:rsidR="00813A90" w:rsidRDefault="00813A90" w:rsidP="00813A90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postholder will be part of the Council team and will be expected to support the Council’s Strategy and corporate objectives in all aspects of their work</w:t>
      </w:r>
    </w:p>
    <w:bookmarkEnd w:id="1"/>
    <w:p w14:paraId="4FE3B336" w14:textId="3FF3F419" w:rsidR="00813A90" w:rsidRPr="00813A90" w:rsidRDefault="00813A90" w:rsidP="00813A90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EF51F8E" w14:textId="53A0F200" w:rsidR="0087418D" w:rsidRPr="00810E9E" w:rsidRDefault="0087418D" w:rsidP="00AE350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bCs/>
          <w:sz w:val="26"/>
          <w:szCs w:val="26"/>
        </w:rPr>
        <w:t xml:space="preserve">Climate Change </w:t>
      </w:r>
    </w:p>
    <w:p w14:paraId="7CC86D13" w14:textId="7CD890F8" w:rsidR="0087418D" w:rsidRDefault="0087418D" w:rsidP="00AE3502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sz w:val="26"/>
          <w:szCs w:val="26"/>
        </w:rPr>
        <w:t xml:space="preserve">Delivering energy conservation practices in line with the Council’s climate change strategy. </w:t>
      </w:r>
    </w:p>
    <w:p w14:paraId="1B3E7906" w14:textId="77777777" w:rsidR="00A71CEC" w:rsidRPr="00810E9E" w:rsidRDefault="00A71CEC" w:rsidP="00AE3502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</w:p>
    <w:p w14:paraId="300D7C5F" w14:textId="77777777" w:rsidR="0087418D" w:rsidRPr="00810E9E" w:rsidRDefault="0087418D" w:rsidP="00AE350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b/>
          <w:bCs/>
          <w:sz w:val="26"/>
          <w:szCs w:val="26"/>
        </w:rPr>
        <w:t xml:space="preserve">Health and Safety </w:t>
      </w:r>
    </w:p>
    <w:p w14:paraId="106915C4" w14:textId="426FB5CC" w:rsidR="0087418D" w:rsidRDefault="0087418D" w:rsidP="00AE3502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  <w:r w:rsidRPr="00810E9E">
        <w:rPr>
          <w:rFonts w:asciiTheme="minorHAnsi" w:hAnsiTheme="minorHAnsi" w:cstheme="minorHAnsi"/>
          <w:sz w:val="26"/>
          <w:szCs w:val="26"/>
        </w:rPr>
        <w:t xml:space="preserve">Ensuring a work environment that protects people’s health and safety and that promotes welfare and which is in accordance with the Council’s Health &amp; Safety policy. </w:t>
      </w:r>
    </w:p>
    <w:p w14:paraId="529E2AD9" w14:textId="77777777" w:rsidR="004D4397" w:rsidRPr="00810E9E" w:rsidRDefault="004D4397" w:rsidP="00AE3502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</w:p>
    <w:p w14:paraId="6AA4036F" w14:textId="77777777" w:rsidR="00515A2A" w:rsidRPr="00810E9E" w:rsidRDefault="00515A2A" w:rsidP="00636452">
      <w:pPr>
        <w:rPr>
          <w:rFonts w:asciiTheme="minorHAnsi" w:hAnsiTheme="minorHAnsi" w:cstheme="minorHAnsi"/>
          <w:b/>
          <w:sz w:val="26"/>
          <w:szCs w:val="26"/>
        </w:rPr>
      </w:pPr>
    </w:p>
    <w:p w14:paraId="6AA40370" w14:textId="77777777" w:rsidR="00515A2A" w:rsidRPr="00810E9E" w:rsidRDefault="00515A2A" w:rsidP="00636452">
      <w:pPr>
        <w:rPr>
          <w:rFonts w:asciiTheme="minorHAnsi" w:hAnsiTheme="minorHAnsi" w:cstheme="minorHAnsi"/>
          <w:b/>
          <w:sz w:val="26"/>
          <w:szCs w:val="26"/>
        </w:rPr>
      </w:pPr>
    </w:p>
    <w:sectPr w:rsidR="00515A2A" w:rsidRPr="00810E9E" w:rsidSect="00CA2161">
      <w:footerReference w:type="default" r:id="rId11"/>
      <w:pgSz w:w="11907" w:h="16839" w:code="9"/>
      <w:pgMar w:top="426" w:right="850" w:bottom="0" w:left="1134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21AF" w14:textId="77777777" w:rsidR="00ED1D04" w:rsidRDefault="00ED1D04" w:rsidP="00A04A63">
      <w:r>
        <w:separator/>
      </w:r>
    </w:p>
  </w:endnote>
  <w:endnote w:type="continuationSeparator" w:id="0">
    <w:p w14:paraId="378FEEDC" w14:textId="77777777" w:rsidR="00ED1D04" w:rsidRDefault="00ED1D04" w:rsidP="00A0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0377" w14:textId="7AF6CD46" w:rsidR="00A04A63" w:rsidRPr="00A04A63" w:rsidRDefault="00A04A63" w:rsidP="00A04A63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ADBD" w14:textId="77777777" w:rsidR="00ED1D04" w:rsidRDefault="00ED1D04" w:rsidP="00A04A63">
      <w:r>
        <w:separator/>
      </w:r>
    </w:p>
  </w:footnote>
  <w:footnote w:type="continuationSeparator" w:id="0">
    <w:p w14:paraId="31DD7604" w14:textId="77777777" w:rsidR="00ED1D04" w:rsidRDefault="00ED1D04" w:rsidP="00A0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8" w:hanging="360"/>
      </w:pPr>
      <w:rPr>
        <w:rFonts w:ascii="Symbol" w:hAnsi="Symbol" w:cs="Symbol"/>
        <w:b w:val="0"/>
        <w:bCs w:val="0"/>
        <w:color w:val="252525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509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30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18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509" w:hanging="360"/>
      </w:pPr>
    </w:lvl>
    <w:lvl w:ilvl="4">
      <w:numFmt w:val="bullet"/>
      <w:lvlText w:val="•"/>
      <w:lvlJc w:val="left"/>
      <w:pPr>
        <w:ind w:left="4406" w:hanging="360"/>
      </w:pPr>
    </w:lvl>
    <w:lvl w:ilvl="5">
      <w:numFmt w:val="bullet"/>
      <w:lvlText w:val="•"/>
      <w:lvlJc w:val="left"/>
      <w:pPr>
        <w:ind w:left="5303" w:hanging="360"/>
      </w:pPr>
    </w:lvl>
    <w:lvl w:ilvl="6">
      <w:numFmt w:val="bullet"/>
      <w:lvlText w:val="•"/>
      <w:lvlJc w:val="left"/>
      <w:pPr>
        <w:ind w:left="6199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2" w15:restartNumberingAfterBreak="0">
    <w:nsid w:val="137A521D"/>
    <w:multiLevelType w:val="hybridMultilevel"/>
    <w:tmpl w:val="ECB0A02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9062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D1418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14F3CDA"/>
    <w:multiLevelType w:val="hybridMultilevel"/>
    <w:tmpl w:val="22E895EC"/>
    <w:lvl w:ilvl="0" w:tplc="ED36DB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6143"/>
    <w:multiLevelType w:val="hybridMultilevel"/>
    <w:tmpl w:val="1264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1E1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005539"/>
    <w:multiLevelType w:val="hybridMultilevel"/>
    <w:tmpl w:val="6046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A54C0"/>
    <w:multiLevelType w:val="hybridMultilevel"/>
    <w:tmpl w:val="2850F14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936595131">
    <w:abstractNumId w:val="3"/>
  </w:num>
  <w:num w:numId="2" w16cid:durableId="677123875">
    <w:abstractNumId w:val="7"/>
  </w:num>
  <w:num w:numId="3" w16cid:durableId="398330186">
    <w:abstractNumId w:val="4"/>
  </w:num>
  <w:num w:numId="4" w16cid:durableId="485899287">
    <w:abstractNumId w:val="5"/>
  </w:num>
  <w:num w:numId="5" w16cid:durableId="754471153">
    <w:abstractNumId w:val="1"/>
  </w:num>
  <w:num w:numId="6" w16cid:durableId="1965772436">
    <w:abstractNumId w:val="0"/>
  </w:num>
  <w:num w:numId="7" w16cid:durableId="1612317548">
    <w:abstractNumId w:val="8"/>
  </w:num>
  <w:num w:numId="8" w16cid:durableId="939994952">
    <w:abstractNumId w:val="2"/>
  </w:num>
  <w:num w:numId="9" w16cid:durableId="397555650">
    <w:abstractNumId w:val="9"/>
  </w:num>
  <w:num w:numId="10" w16cid:durableId="1003704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30"/>
    <w:rsid w:val="000006E4"/>
    <w:rsid w:val="00027463"/>
    <w:rsid w:val="00027ADA"/>
    <w:rsid w:val="00040056"/>
    <w:rsid w:val="00041913"/>
    <w:rsid w:val="00060A8F"/>
    <w:rsid w:val="0006460B"/>
    <w:rsid w:val="00073398"/>
    <w:rsid w:val="0008167A"/>
    <w:rsid w:val="000963EF"/>
    <w:rsid w:val="000A4864"/>
    <w:rsid w:val="000B5271"/>
    <w:rsid w:val="000D6908"/>
    <w:rsid w:val="00100196"/>
    <w:rsid w:val="001071FD"/>
    <w:rsid w:val="00117B3C"/>
    <w:rsid w:val="00126D2D"/>
    <w:rsid w:val="00142CF1"/>
    <w:rsid w:val="00143D0D"/>
    <w:rsid w:val="00163E14"/>
    <w:rsid w:val="00165BE5"/>
    <w:rsid w:val="0017338B"/>
    <w:rsid w:val="00185B5B"/>
    <w:rsid w:val="00186B41"/>
    <w:rsid w:val="001871FE"/>
    <w:rsid w:val="00187C53"/>
    <w:rsid w:val="0019495F"/>
    <w:rsid w:val="001962DA"/>
    <w:rsid w:val="001A00D1"/>
    <w:rsid w:val="001C6100"/>
    <w:rsid w:val="001D1777"/>
    <w:rsid w:val="001D2382"/>
    <w:rsid w:val="001D3F25"/>
    <w:rsid w:val="001E1ADA"/>
    <w:rsid w:val="001F44F9"/>
    <w:rsid w:val="00210524"/>
    <w:rsid w:val="00221075"/>
    <w:rsid w:val="00230BC3"/>
    <w:rsid w:val="00232867"/>
    <w:rsid w:val="00242089"/>
    <w:rsid w:val="0025184B"/>
    <w:rsid w:val="0026156E"/>
    <w:rsid w:val="0027112F"/>
    <w:rsid w:val="00274A02"/>
    <w:rsid w:val="0027744A"/>
    <w:rsid w:val="00282E1E"/>
    <w:rsid w:val="00291B4D"/>
    <w:rsid w:val="0029395F"/>
    <w:rsid w:val="002A22C7"/>
    <w:rsid w:val="002A78F7"/>
    <w:rsid w:val="002B46D0"/>
    <w:rsid w:val="002C5D70"/>
    <w:rsid w:val="002D21A1"/>
    <w:rsid w:val="002D5B3A"/>
    <w:rsid w:val="002D6C68"/>
    <w:rsid w:val="003061D4"/>
    <w:rsid w:val="00307303"/>
    <w:rsid w:val="003201A6"/>
    <w:rsid w:val="00335E7F"/>
    <w:rsid w:val="00340CAD"/>
    <w:rsid w:val="003449F8"/>
    <w:rsid w:val="003478FC"/>
    <w:rsid w:val="00351D77"/>
    <w:rsid w:val="00351EE2"/>
    <w:rsid w:val="00353E25"/>
    <w:rsid w:val="00362FC9"/>
    <w:rsid w:val="00371302"/>
    <w:rsid w:val="00381706"/>
    <w:rsid w:val="00382688"/>
    <w:rsid w:val="003829DD"/>
    <w:rsid w:val="003831FD"/>
    <w:rsid w:val="003940E9"/>
    <w:rsid w:val="00397179"/>
    <w:rsid w:val="003A7F2C"/>
    <w:rsid w:val="003B32D8"/>
    <w:rsid w:val="003B63A9"/>
    <w:rsid w:val="003D245B"/>
    <w:rsid w:val="003D3B49"/>
    <w:rsid w:val="003E54FA"/>
    <w:rsid w:val="003F58A6"/>
    <w:rsid w:val="00416B03"/>
    <w:rsid w:val="0041783C"/>
    <w:rsid w:val="00433773"/>
    <w:rsid w:val="00441A38"/>
    <w:rsid w:val="00460DB7"/>
    <w:rsid w:val="004918C6"/>
    <w:rsid w:val="004948AE"/>
    <w:rsid w:val="004976FE"/>
    <w:rsid w:val="004A5B2C"/>
    <w:rsid w:val="004D288D"/>
    <w:rsid w:val="004D4397"/>
    <w:rsid w:val="004E2A77"/>
    <w:rsid w:val="004F0C37"/>
    <w:rsid w:val="004F5791"/>
    <w:rsid w:val="0050654B"/>
    <w:rsid w:val="00506FDA"/>
    <w:rsid w:val="00515A2A"/>
    <w:rsid w:val="00525156"/>
    <w:rsid w:val="00576E50"/>
    <w:rsid w:val="00577D3F"/>
    <w:rsid w:val="00582FE6"/>
    <w:rsid w:val="00583E29"/>
    <w:rsid w:val="00594D3C"/>
    <w:rsid w:val="005A4D31"/>
    <w:rsid w:val="005C2CDB"/>
    <w:rsid w:val="005D44F5"/>
    <w:rsid w:val="005D6A88"/>
    <w:rsid w:val="005E4497"/>
    <w:rsid w:val="005E4A12"/>
    <w:rsid w:val="00600F41"/>
    <w:rsid w:val="00603F1B"/>
    <w:rsid w:val="00607A92"/>
    <w:rsid w:val="00614161"/>
    <w:rsid w:val="00621E62"/>
    <w:rsid w:val="0062235D"/>
    <w:rsid w:val="00636452"/>
    <w:rsid w:val="00646431"/>
    <w:rsid w:val="006504A0"/>
    <w:rsid w:val="006605DC"/>
    <w:rsid w:val="00677B36"/>
    <w:rsid w:val="0069052A"/>
    <w:rsid w:val="006A4F09"/>
    <w:rsid w:val="006A622A"/>
    <w:rsid w:val="006B2CDE"/>
    <w:rsid w:val="006B6A82"/>
    <w:rsid w:val="006D558E"/>
    <w:rsid w:val="006E1871"/>
    <w:rsid w:val="0070089A"/>
    <w:rsid w:val="00703219"/>
    <w:rsid w:val="0071771B"/>
    <w:rsid w:val="00771D08"/>
    <w:rsid w:val="00772CCB"/>
    <w:rsid w:val="007A2A31"/>
    <w:rsid w:val="007B354C"/>
    <w:rsid w:val="007C6A36"/>
    <w:rsid w:val="00810E9E"/>
    <w:rsid w:val="00810FA6"/>
    <w:rsid w:val="00813A90"/>
    <w:rsid w:val="008147C1"/>
    <w:rsid w:val="00814AC1"/>
    <w:rsid w:val="00854589"/>
    <w:rsid w:val="00861A4F"/>
    <w:rsid w:val="00864900"/>
    <w:rsid w:val="00864AF0"/>
    <w:rsid w:val="0087418D"/>
    <w:rsid w:val="00886F08"/>
    <w:rsid w:val="00890B8C"/>
    <w:rsid w:val="00897CFB"/>
    <w:rsid w:val="008A364E"/>
    <w:rsid w:val="008B2D87"/>
    <w:rsid w:val="008B4BBB"/>
    <w:rsid w:val="008C1B75"/>
    <w:rsid w:val="008D5830"/>
    <w:rsid w:val="008E1E1C"/>
    <w:rsid w:val="0090793C"/>
    <w:rsid w:val="0091599D"/>
    <w:rsid w:val="0091751F"/>
    <w:rsid w:val="00923F8E"/>
    <w:rsid w:val="00941947"/>
    <w:rsid w:val="009551FD"/>
    <w:rsid w:val="00964BF8"/>
    <w:rsid w:val="00973437"/>
    <w:rsid w:val="00980F01"/>
    <w:rsid w:val="00986ED6"/>
    <w:rsid w:val="00990F9C"/>
    <w:rsid w:val="00994C99"/>
    <w:rsid w:val="009A2D96"/>
    <w:rsid w:val="009D23E2"/>
    <w:rsid w:val="009E5F35"/>
    <w:rsid w:val="009E6C05"/>
    <w:rsid w:val="009F69F3"/>
    <w:rsid w:val="00A01E7F"/>
    <w:rsid w:val="00A04A63"/>
    <w:rsid w:val="00A16402"/>
    <w:rsid w:val="00A3546A"/>
    <w:rsid w:val="00A40908"/>
    <w:rsid w:val="00A436D5"/>
    <w:rsid w:val="00A4759E"/>
    <w:rsid w:val="00A54CAC"/>
    <w:rsid w:val="00A55898"/>
    <w:rsid w:val="00A56E61"/>
    <w:rsid w:val="00A71CEC"/>
    <w:rsid w:val="00A74363"/>
    <w:rsid w:val="00A914FA"/>
    <w:rsid w:val="00AB79F6"/>
    <w:rsid w:val="00AC1502"/>
    <w:rsid w:val="00AC59CB"/>
    <w:rsid w:val="00AE0A82"/>
    <w:rsid w:val="00AE3502"/>
    <w:rsid w:val="00B0121E"/>
    <w:rsid w:val="00B13408"/>
    <w:rsid w:val="00B21F9F"/>
    <w:rsid w:val="00B26B63"/>
    <w:rsid w:val="00B45ACA"/>
    <w:rsid w:val="00B5249E"/>
    <w:rsid w:val="00B6174B"/>
    <w:rsid w:val="00B63CA8"/>
    <w:rsid w:val="00B64403"/>
    <w:rsid w:val="00B64EA6"/>
    <w:rsid w:val="00B65B8C"/>
    <w:rsid w:val="00B74A8F"/>
    <w:rsid w:val="00B850C7"/>
    <w:rsid w:val="00B9525C"/>
    <w:rsid w:val="00BC150E"/>
    <w:rsid w:val="00BC51B3"/>
    <w:rsid w:val="00BC646B"/>
    <w:rsid w:val="00BD12DC"/>
    <w:rsid w:val="00BD64DC"/>
    <w:rsid w:val="00BD707C"/>
    <w:rsid w:val="00BE4D3D"/>
    <w:rsid w:val="00BF0822"/>
    <w:rsid w:val="00C04E34"/>
    <w:rsid w:val="00C164D2"/>
    <w:rsid w:val="00C37E58"/>
    <w:rsid w:val="00C444FA"/>
    <w:rsid w:val="00C44D54"/>
    <w:rsid w:val="00C56FA7"/>
    <w:rsid w:val="00C6242E"/>
    <w:rsid w:val="00C7333F"/>
    <w:rsid w:val="00C7381A"/>
    <w:rsid w:val="00C90D77"/>
    <w:rsid w:val="00C94F22"/>
    <w:rsid w:val="00CA1B13"/>
    <w:rsid w:val="00CA2161"/>
    <w:rsid w:val="00CD4066"/>
    <w:rsid w:val="00CD6C2E"/>
    <w:rsid w:val="00CE129F"/>
    <w:rsid w:val="00D057BE"/>
    <w:rsid w:val="00D32D4D"/>
    <w:rsid w:val="00D4044A"/>
    <w:rsid w:val="00D47A0F"/>
    <w:rsid w:val="00D54B1F"/>
    <w:rsid w:val="00D655F3"/>
    <w:rsid w:val="00D83357"/>
    <w:rsid w:val="00DA2637"/>
    <w:rsid w:val="00DB2501"/>
    <w:rsid w:val="00DB3FD1"/>
    <w:rsid w:val="00DD0774"/>
    <w:rsid w:val="00DD4B59"/>
    <w:rsid w:val="00DD7AE7"/>
    <w:rsid w:val="00DE3DF9"/>
    <w:rsid w:val="00DF4182"/>
    <w:rsid w:val="00E045F7"/>
    <w:rsid w:val="00E26F1A"/>
    <w:rsid w:val="00E5372E"/>
    <w:rsid w:val="00E6276F"/>
    <w:rsid w:val="00E7498E"/>
    <w:rsid w:val="00EA286C"/>
    <w:rsid w:val="00EA7F97"/>
    <w:rsid w:val="00EB1099"/>
    <w:rsid w:val="00EB7A71"/>
    <w:rsid w:val="00ED1D04"/>
    <w:rsid w:val="00F40016"/>
    <w:rsid w:val="00F62B05"/>
    <w:rsid w:val="00F7002D"/>
    <w:rsid w:val="00F81094"/>
    <w:rsid w:val="00F9298F"/>
    <w:rsid w:val="00FA3408"/>
    <w:rsid w:val="00FC1D3E"/>
    <w:rsid w:val="00FC45BE"/>
    <w:rsid w:val="00FD74F2"/>
    <w:rsid w:val="00FE000C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A40307"/>
  <w15:docId w15:val="{F9CCFFCB-D17C-40AF-9864-09E6586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830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6504A0"/>
    <w:pPr>
      <w:keepNext/>
      <w:spacing w:before="240" w:after="60"/>
      <w:outlineLvl w:val="0"/>
    </w:pPr>
    <w:rPr>
      <w:rFonts w:ascii="Bodoni MT" w:hAnsi="Bodoni M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B5249E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4FA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A04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4A6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rsid w:val="00A04A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4A63"/>
    <w:rPr>
      <w:rFonts w:ascii="Tahoma" w:hAnsi="Tahoma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21E"/>
  </w:style>
  <w:style w:type="character" w:customStyle="1" w:styleId="FootnoteTextChar">
    <w:name w:val="Footnote Text Char"/>
    <w:basedOn w:val="DefaultParagraphFont"/>
    <w:link w:val="FootnoteText"/>
    <w:semiHidden/>
    <w:rsid w:val="00B0121E"/>
    <w:rPr>
      <w:rFonts w:ascii="Tahoma" w:hAnsi="Tahoma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21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76E50"/>
  </w:style>
  <w:style w:type="character" w:customStyle="1" w:styleId="EndnoteTextChar">
    <w:name w:val="Endnote Text Char"/>
    <w:basedOn w:val="DefaultParagraphFont"/>
    <w:link w:val="EndnoteText"/>
    <w:semiHidden/>
    <w:rsid w:val="00576E50"/>
    <w:rPr>
      <w:rFonts w:ascii="Tahoma" w:hAnsi="Tahoma"/>
      <w:lang w:eastAsia="en-US"/>
    </w:rPr>
  </w:style>
  <w:style w:type="character" w:styleId="EndnoteReference">
    <w:name w:val="endnote reference"/>
    <w:basedOn w:val="DefaultParagraphFont"/>
    <w:semiHidden/>
    <w:unhideWhenUsed/>
    <w:rsid w:val="00576E50"/>
    <w:rPr>
      <w:vertAlign w:val="superscript"/>
    </w:rPr>
  </w:style>
  <w:style w:type="paragraph" w:customStyle="1" w:styleId="Default">
    <w:name w:val="Default"/>
    <w:rsid w:val="0087418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5791"/>
    <w:pPr>
      <w:widowControl w:val="0"/>
      <w:autoSpaceDE w:val="0"/>
      <w:autoSpaceDN w:val="0"/>
      <w:adjustRightInd w:val="0"/>
      <w:spacing w:before="58"/>
      <w:ind w:left="103"/>
    </w:pPr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0F41"/>
    <w:pPr>
      <w:ind w:left="720"/>
      <w:contextualSpacing/>
    </w:pPr>
  </w:style>
  <w:style w:type="paragraph" w:styleId="Revision">
    <w:name w:val="Revision"/>
    <w:hidden/>
    <w:uiPriority w:val="99"/>
    <w:semiHidden/>
    <w:rsid w:val="00027ADA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5" ma:contentTypeDescription="Create a new document." ma:contentTypeScope="" ma:versionID="29c845c6983e106fcab4623133ff9c71">
  <xsd:schema xmlns:xsd="http://www.w3.org/2001/XMLSchema" xmlns:xs="http://www.w3.org/2001/XMLSchema" xmlns:p="http://schemas.microsoft.com/office/2006/metadata/properties" xmlns:ns2="efb95eb6-10d0-495e-b728-5ca1e07a44f0" xmlns:ns3="0b80b7af-6ebf-4f1f-b9e8-001363b82b0e" targetNamespace="http://schemas.microsoft.com/office/2006/metadata/properties" ma:root="true" ma:fieldsID="6a4c1d70a6635a82b15540584052ad4a" ns2:_="" ns3:_="">
    <xsd:import namespace="efb95eb6-10d0-495e-b728-5ca1e07a44f0"/>
    <xsd:import namespace="0b80b7af-6ebf-4f1f-b9e8-001363b82b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aabbc9-6f8a-4359-9883-4432f96b6f6b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6BED8F-3681-4803-994D-A96DFD396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8EC9D-B3C4-4778-9EF5-F297EF456017}"/>
</file>

<file path=customXml/itemProps3.xml><?xml version="1.0" encoding="utf-8"?>
<ds:datastoreItem xmlns:ds="http://schemas.openxmlformats.org/officeDocument/2006/customXml" ds:itemID="{4620B7FC-D03B-4E46-8D42-8A09E8136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62EFB-BF23-4971-85ED-E916BC2E31FD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Thatcham Town Council</vt:lpstr>
    </vt:vector>
  </TitlesOfParts>
  <Company>Thatcham Town Council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Thatcham Town Council</dc:title>
  <dc:creator>Elaine Hare</dc:creator>
  <cp:lastModifiedBy>Darius Zarazel</cp:lastModifiedBy>
  <cp:revision>3</cp:revision>
  <cp:lastPrinted>2022-09-28T12:13:00Z</cp:lastPrinted>
  <dcterms:created xsi:type="dcterms:W3CDTF">2022-10-03T12:31:00Z</dcterms:created>
  <dcterms:modified xsi:type="dcterms:W3CDTF">2022-10-03T12:31:00Z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